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86" w:rsidRDefault="00A82086">
      <w:pPr>
        <w:pStyle w:val="Textbody"/>
        <w:rPr>
          <w:rFonts w:ascii="Times New Roman" w:hAnsi="Times New Roman"/>
        </w:rPr>
      </w:pP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8208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086" w:rsidRDefault="007A5C5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DOSSIER DE DÉCLARATION</w:t>
            </w:r>
            <w:r>
              <w:rPr>
                <w:rFonts w:ascii="Times New Roman" w:hAnsi="Times New Roman"/>
                <w:b/>
                <w:bCs/>
              </w:rPr>
              <w:t xml:space="preserve"> POUR L’ORGANISATION D’UNE MANIFESTATION DE PLUS DE DIX PERSONNES SUR LA VOIE PUBLIQUE</w:t>
            </w:r>
          </w:p>
        </w:tc>
      </w:tr>
    </w:tbl>
    <w:p w:rsidR="00A82086" w:rsidRDefault="00A82086">
      <w:pPr>
        <w:pStyle w:val="Standard"/>
        <w:rPr>
          <w:rFonts w:ascii="Times New Roman" w:hAnsi="Times New Roman"/>
        </w:rPr>
      </w:pPr>
    </w:p>
    <w:p w:rsidR="00A82086" w:rsidRDefault="00A82086">
      <w:pPr>
        <w:pStyle w:val="Standard"/>
        <w:rPr>
          <w:rFonts w:ascii="Times New Roman" w:hAnsi="Times New Roman"/>
        </w:rPr>
      </w:pPr>
    </w:p>
    <w:p w:rsidR="00A82086" w:rsidRDefault="007A5C54">
      <w:pPr>
        <w:pStyle w:val="Standarduser"/>
        <w:jc w:val="both"/>
        <w:rPr>
          <w:szCs w:val="24"/>
        </w:rPr>
      </w:pPr>
      <w:r>
        <w:rPr>
          <w:szCs w:val="24"/>
        </w:rPr>
        <w:t>En application de l’article 3 du décret n° 2020-860 du 10 juillet 2020 prescrivant les mesures générales nécessaires pour faire face à l’épidémie de Covid-19 dans les</w:t>
      </w:r>
      <w:r>
        <w:rPr>
          <w:szCs w:val="24"/>
        </w:rPr>
        <w:t xml:space="preserve"> territoires sortis de l’état d’urgence sanitaire et dans ceux où il a été prorogé, </w:t>
      </w:r>
      <w:r>
        <w:rPr>
          <w:b/>
          <w:bCs/>
          <w:szCs w:val="24"/>
        </w:rPr>
        <w:t xml:space="preserve">les rassemblements, réunions ou activités sur la voie publique ou dans un lieu ouvert au public de plus de 10 personnes doivent être déclarés en préfecture et peuvent être </w:t>
      </w:r>
      <w:r>
        <w:rPr>
          <w:b/>
          <w:bCs/>
          <w:szCs w:val="24"/>
        </w:rPr>
        <w:t>interdits par le préfet de département</w:t>
      </w:r>
      <w:r>
        <w:rPr>
          <w:szCs w:val="24"/>
        </w:rPr>
        <w:t xml:space="preserve"> si les conditions de leur organisation ne permettent pas de garantir le respect des dispositions de l’article 1</w:t>
      </w:r>
      <w:r>
        <w:rPr>
          <w:szCs w:val="24"/>
          <w:vertAlign w:val="superscript"/>
        </w:rPr>
        <w:t>er</w:t>
      </w:r>
      <w:r>
        <w:rPr>
          <w:szCs w:val="24"/>
        </w:rPr>
        <w:t xml:space="preserve"> du décret du  10 juillet susvisé.</w:t>
      </w:r>
    </w:p>
    <w:p w:rsidR="00A82086" w:rsidRDefault="00A82086">
      <w:pPr>
        <w:pStyle w:val="Standarduser"/>
        <w:jc w:val="both"/>
        <w:rPr>
          <w:szCs w:val="24"/>
        </w:rPr>
      </w:pPr>
    </w:p>
    <w:p w:rsidR="00A82086" w:rsidRDefault="00A82086">
      <w:pPr>
        <w:pStyle w:val="Standarduser"/>
        <w:jc w:val="both"/>
        <w:rPr>
          <w:szCs w:val="24"/>
        </w:rPr>
      </w:pPr>
    </w:p>
    <w:p w:rsidR="00A82086" w:rsidRDefault="007A5C54">
      <w:pPr>
        <w:pStyle w:val="Standarduser"/>
        <w:jc w:val="both"/>
      </w:pPr>
      <w:r>
        <w:rPr>
          <w:szCs w:val="24"/>
        </w:rPr>
        <w:t>Dans le département du Bas-Rhin, l’organisateur transmet sa déclara</w:t>
      </w:r>
      <w:r>
        <w:rPr>
          <w:szCs w:val="24"/>
        </w:rPr>
        <w:t>tion :</w:t>
      </w:r>
    </w:p>
    <w:p w:rsidR="00A82086" w:rsidRDefault="007A5C54">
      <w:pPr>
        <w:pStyle w:val="Standarduser"/>
        <w:jc w:val="both"/>
      </w:pPr>
      <w:r>
        <w:rPr>
          <w:szCs w:val="24"/>
        </w:rPr>
        <w:t>- pour les arrondissements de Haguenau-Wissembourg, Molsheim, Saverne, Sélestat-Erstein : en sous-préfecture,</w:t>
      </w:r>
    </w:p>
    <w:p w:rsidR="00A82086" w:rsidRDefault="007A5C54">
      <w:pPr>
        <w:pStyle w:val="Standarduser"/>
        <w:jc w:val="both"/>
      </w:pPr>
      <w:r>
        <w:rPr>
          <w:szCs w:val="24"/>
        </w:rPr>
        <w:t>- pour l’arrondissement de Strasbourg : à l’adresse suivante :  pref-covid19@bas-rhin.gouv.fr</w:t>
      </w:r>
    </w:p>
    <w:p w:rsidR="00A82086" w:rsidRDefault="00A82086">
      <w:pPr>
        <w:pStyle w:val="Standarduser"/>
        <w:jc w:val="both"/>
      </w:pPr>
    </w:p>
    <w:p w:rsidR="00A82086" w:rsidRDefault="00A82086">
      <w:pPr>
        <w:pStyle w:val="Standarduser"/>
        <w:jc w:val="both"/>
      </w:pPr>
    </w:p>
    <w:p w:rsidR="00A82086" w:rsidRDefault="00A82086">
      <w:pPr>
        <w:pStyle w:val="Standarduser"/>
        <w:jc w:val="both"/>
      </w:pPr>
    </w:p>
    <w:p w:rsidR="00A82086" w:rsidRDefault="00A82086">
      <w:pPr>
        <w:pStyle w:val="Standarduser"/>
        <w:jc w:val="both"/>
      </w:pPr>
    </w:p>
    <w:p w:rsidR="00A82086" w:rsidRDefault="00A82086">
      <w:pPr>
        <w:pStyle w:val="Standarduser"/>
        <w:jc w:val="both"/>
      </w:pPr>
    </w:p>
    <w:p w:rsidR="00A82086" w:rsidRDefault="00A82086">
      <w:pPr>
        <w:pStyle w:val="Standarduser"/>
        <w:jc w:val="both"/>
        <w:rPr>
          <w:szCs w:val="24"/>
        </w:rPr>
      </w:pPr>
    </w:p>
    <w:p w:rsidR="00A82086" w:rsidRDefault="00A82086">
      <w:pPr>
        <w:pStyle w:val="Standarduser"/>
        <w:jc w:val="both"/>
        <w:rPr>
          <w:szCs w:val="24"/>
        </w:rPr>
      </w:pPr>
    </w:p>
    <w:p w:rsidR="00A82086" w:rsidRDefault="007A5C54">
      <w:pPr>
        <w:pStyle w:val="Standarduser"/>
        <w:jc w:val="both"/>
        <w:rPr>
          <w:szCs w:val="24"/>
        </w:rPr>
      </w:pPr>
      <w:r>
        <w:rPr>
          <w:b/>
          <w:bCs/>
          <w:szCs w:val="24"/>
        </w:rPr>
        <w:t>La déclaration peut</w:t>
      </w:r>
      <w:r>
        <w:rPr>
          <w:b/>
          <w:bCs/>
          <w:szCs w:val="24"/>
        </w:rPr>
        <w:t xml:space="preserve"> être accompagnée:</w:t>
      </w:r>
    </w:p>
    <w:p w:rsidR="00A82086" w:rsidRDefault="007A5C54">
      <w:pPr>
        <w:pStyle w:val="Standarduser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des plans de l’itinéraire ou de l’événement (plans, photographies, etc.) ;</w:t>
      </w:r>
    </w:p>
    <w:p w:rsidR="00A82086" w:rsidRDefault="007A5C54">
      <w:pPr>
        <w:pStyle w:val="Standarduser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d’un dossier technique complet en cas de mise en place d’installations (tentes, enceintes, gradins, scènes, manèges, etc.)</w:t>
      </w:r>
    </w:p>
    <w:p w:rsidR="00A82086" w:rsidRDefault="00A82086">
      <w:pPr>
        <w:pStyle w:val="Standarduser"/>
        <w:jc w:val="both"/>
        <w:rPr>
          <w:szCs w:val="24"/>
        </w:rPr>
      </w:pPr>
    </w:p>
    <w:p w:rsidR="00A82086" w:rsidRDefault="00A82086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:rsidR="00A82086" w:rsidRDefault="00A82086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:rsidR="00A82086" w:rsidRDefault="00A82086">
      <w:pPr>
        <w:pStyle w:val="Standarduser"/>
        <w:jc w:val="both"/>
        <w:rPr>
          <w:color w:val="000000"/>
          <w:szCs w:val="24"/>
          <w:lang w:bidi="ar-SA"/>
        </w:rPr>
      </w:pPr>
    </w:p>
    <w:p w:rsidR="00A82086" w:rsidRDefault="00A82086">
      <w:pPr>
        <w:pStyle w:val="Textbody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fr-FR" w:bidi="ar-SA"/>
        </w:rPr>
      </w:pPr>
    </w:p>
    <w:p w:rsidR="00A82086" w:rsidRDefault="00A82086">
      <w:pPr>
        <w:pStyle w:val="Standarduser"/>
        <w:pageBreakBefore/>
        <w:jc w:val="both"/>
        <w:rPr>
          <w:szCs w:val="24"/>
        </w:rPr>
      </w:pPr>
    </w:p>
    <w:p w:rsidR="00A82086" w:rsidRDefault="007A5C54">
      <w:pPr>
        <w:pStyle w:val="Standarduser"/>
        <w:jc w:val="both"/>
        <w:rPr>
          <w:szCs w:val="24"/>
        </w:rPr>
      </w:pPr>
      <w:r>
        <w:rPr>
          <w:b/>
          <w:bCs/>
          <w:szCs w:val="24"/>
        </w:rPr>
        <w:t>I</w:t>
      </w:r>
      <w:r>
        <w:rPr>
          <w:szCs w:val="24"/>
        </w:rPr>
        <w:t xml:space="preserve">. </w:t>
      </w:r>
      <w:r>
        <w:rPr>
          <w:b/>
          <w:bCs/>
          <w:szCs w:val="24"/>
          <w:u w:val="single"/>
        </w:rPr>
        <w:t>INFORMATIONS ADMINISTRATIVES</w:t>
      </w:r>
    </w:p>
    <w:p w:rsidR="00A82086" w:rsidRDefault="00A82086">
      <w:pPr>
        <w:pStyle w:val="Standarduser"/>
        <w:jc w:val="both"/>
        <w:rPr>
          <w:szCs w:val="24"/>
        </w:rPr>
      </w:pPr>
    </w:p>
    <w:p w:rsidR="00A82086" w:rsidRDefault="007A5C54">
      <w:pPr>
        <w:pStyle w:val="Head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 d'événement ou de rassemblement organisé :</w:t>
      </w: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7A5C5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Date et heures de début et de fin :</w:t>
      </w: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7A5C54">
      <w:pPr>
        <w:pStyle w:val="Textbody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Localisation de l’événement :</w:t>
      </w: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7A5C54">
      <w:pPr>
        <w:pStyle w:val="Textbody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Nombre de personnes attendues  et surface prévue pour la manifestation :</w:t>
      </w: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7A5C54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Descriptif de l’événement et but de la manifestation :</w:t>
      </w: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7A5C54">
      <w:pPr>
        <w:pStyle w:val="Textbody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Mise en place d’installations </w:t>
      </w:r>
      <w:r>
        <w:rPr>
          <w:rFonts w:ascii="Times New Roman" w:hAnsi="Times New Roman"/>
          <w:b/>
          <w:bCs/>
        </w:rPr>
        <w:t>(</w:t>
      </w:r>
      <w:r>
        <w:rPr>
          <w:b/>
          <w:bCs/>
        </w:rPr>
        <w:t>tentes, enceintes, gradins, scènes, manèges, etc) :</w:t>
      </w: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u w:val="single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  <w:b/>
          <w:bCs/>
        </w:rPr>
      </w:pPr>
    </w:p>
    <w:p w:rsidR="00A82086" w:rsidRDefault="00A82086">
      <w:pPr>
        <w:pStyle w:val="Textbody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A82086" w:rsidRDefault="00A82086">
      <w:pPr>
        <w:pStyle w:val="Standarduser"/>
        <w:ind w:left="35" w:right="5"/>
        <w:jc w:val="both"/>
        <w:rPr>
          <w:b/>
          <w:bCs/>
          <w:szCs w:val="24"/>
        </w:rPr>
      </w:pPr>
    </w:p>
    <w:p w:rsidR="00A82086" w:rsidRDefault="007A5C54">
      <w:pPr>
        <w:pStyle w:val="Standarduser"/>
        <w:ind w:left="35" w:right="5"/>
        <w:jc w:val="both"/>
        <w:rPr>
          <w:b/>
          <w:bCs/>
          <w:szCs w:val="24"/>
        </w:rPr>
      </w:pPr>
      <w:r>
        <w:rPr>
          <w:b/>
          <w:bCs/>
          <w:szCs w:val="24"/>
        </w:rPr>
        <w:t>Coordonnées de l’organisateur (nom, prénom, raison sociale, adresse, téléphone, courriel) :</w:t>
      </w:r>
    </w:p>
    <w:p w:rsidR="00A82086" w:rsidRDefault="00A82086">
      <w:pPr>
        <w:pStyle w:val="Standarduser"/>
        <w:ind w:left="35" w:right="5"/>
        <w:jc w:val="both"/>
        <w:rPr>
          <w:szCs w:val="24"/>
          <w:u w:val="single"/>
        </w:rPr>
      </w:pPr>
    </w:p>
    <w:p w:rsidR="00A82086" w:rsidRDefault="00A82086">
      <w:pPr>
        <w:pStyle w:val="Standarduser"/>
        <w:ind w:left="35" w:right="5"/>
        <w:jc w:val="both"/>
        <w:rPr>
          <w:szCs w:val="24"/>
          <w:u w:val="single"/>
        </w:rPr>
      </w:pPr>
    </w:p>
    <w:p w:rsidR="00A82086" w:rsidRDefault="00A82086">
      <w:pPr>
        <w:pStyle w:val="Titre4"/>
        <w:ind w:left="35" w:right="5"/>
        <w:jc w:val="both"/>
        <w:rPr>
          <w:rFonts w:ascii="Times New Roman" w:hAnsi="Times New Roman"/>
        </w:rPr>
      </w:pPr>
    </w:p>
    <w:p w:rsidR="00A82086" w:rsidRDefault="00A82086">
      <w:pPr>
        <w:pStyle w:val="Standarduser"/>
        <w:ind w:left="35" w:right="5"/>
        <w:jc w:val="both"/>
        <w:rPr>
          <w:szCs w:val="24"/>
          <w:u w:val="single"/>
        </w:rPr>
      </w:pPr>
    </w:p>
    <w:p w:rsidR="00A82086" w:rsidRDefault="007A5C54">
      <w:pPr>
        <w:pStyle w:val="Standarduser"/>
        <w:ind w:right="5"/>
        <w:jc w:val="both"/>
        <w:rPr>
          <w:szCs w:val="24"/>
        </w:rPr>
      </w:pPr>
      <w:r>
        <w:rPr>
          <w:b/>
          <w:bCs/>
          <w:szCs w:val="24"/>
        </w:rPr>
        <w:t>II.</w:t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>MESURES SANITAIRES</w:t>
      </w:r>
    </w:p>
    <w:p w:rsidR="00A82086" w:rsidRDefault="00A82086">
      <w:pPr>
        <w:pStyle w:val="Standarduser"/>
        <w:ind w:left="35" w:right="5"/>
        <w:jc w:val="both"/>
        <w:rPr>
          <w:b/>
          <w:bCs/>
          <w:szCs w:val="24"/>
        </w:rPr>
      </w:pPr>
    </w:p>
    <w:p w:rsidR="00A82086" w:rsidRDefault="007A5C54">
      <w:pPr>
        <w:pStyle w:val="Standarduser"/>
        <w:jc w:val="both"/>
        <w:rPr>
          <w:b/>
          <w:bCs/>
          <w:color w:val="6666FF"/>
          <w:szCs w:val="24"/>
        </w:rPr>
      </w:pPr>
      <w:r>
        <w:rPr>
          <w:b/>
          <w:bCs/>
          <w:color w:val="6666FF"/>
          <w:szCs w:val="24"/>
        </w:rPr>
        <w:t>1. le dispositif de secours</w:t>
      </w:r>
    </w:p>
    <w:p w:rsidR="00A82086" w:rsidRDefault="00A82086">
      <w:pPr>
        <w:pStyle w:val="Standarduser"/>
        <w:jc w:val="both"/>
        <w:rPr>
          <w:b/>
          <w:bCs/>
          <w:color w:val="6666FF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8208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086" w:rsidRDefault="00A82086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A82086" w:rsidRDefault="007A5C5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Les règles habituelles relatives aux dispositifs prévisionnels de secours (DPS) s’appliquent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 Un DPS doit être présent dès lors que certains risques sont réunis (effectif prévisible du public, comportement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prévisible du public, environnement et accessibilité du site, délai d’intervention des secours publics).</w:t>
            </w:r>
          </w:p>
          <w:p w:rsidR="00A82086" w:rsidRDefault="00A82086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A82086" w:rsidRDefault="007A5C5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L’organisateur doit garantir, en permanence, l’accessibilité du site aux services de secours, et prévoir des aménagements sanitaires adaptés à la 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nifestation.</w:t>
            </w:r>
          </w:p>
          <w:p w:rsidR="00A82086" w:rsidRDefault="00A82086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7A5C54">
      <w:pPr>
        <w:pStyle w:val="Standarduser"/>
        <w:jc w:val="both"/>
        <w:rPr>
          <w:b/>
          <w:bCs/>
          <w:szCs w:val="24"/>
        </w:rPr>
      </w:pPr>
      <w:r>
        <w:rPr>
          <w:b/>
          <w:bCs/>
          <w:szCs w:val="24"/>
        </w:rPr>
        <w:t>Un DSP est-il prévu : oui - non</w:t>
      </w:r>
    </w:p>
    <w:p w:rsidR="00A82086" w:rsidRDefault="007A5C54">
      <w:pPr>
        <w:pStyle w:val="Standarduser"/>
        <w:jc w:val="both"/>
        <w:rPr>
          <w:b/>
          <w:bCs/>
          <w:szCs w:val="24"/>
        </w:rPr>
      </w:pPr>
      <w:r>
        <w:rPr>
          <w:b/>
          <w:bCs/>
          <w:szCs w:val="24"/>
        </w:rPr>
        <w:t>Dans l’affirmative, quelle association et quels moyens ?</w:t>
      </w: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7A5C54">
      <w:pPr>
        <w:pStyle w:val="Standarduser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Concernant les mesures barrières « Covid-19 » :  </w:t>
      </w:r>
      <w:r>
        <w:rPr>
          <w:szCs w:val="24"/>
        </w:rPr>
        <w:t>Rappel des mesures barrières socles à respecter</w:t>
      </w:r>
    </w:p>
    <w:p w:rsidR="00A82086" w:rsidRDefault="00A82086">
      <w:pPr>
        <w:pStyle w:val="Standarduser"/>
        <w:jc w:val="both"/>
        <w:rPr>
          <w:szCs w:val="24"/>
        </w:rPr>
      </w:pPr>
    </w:p>
    <w:p w:rsidR="00A82086" w:rsidRDefault="007A5C54">
      <w:pPr>
        <w:pStyle w:val="Standarduser"/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i/>
          <w:iCs/>
          <w:szCs w:val="24"/>
        </w:rPr>
      </w:pPr>
      <w:r>
        <w:rPr>
          <w:i/>
          <w:iCs/>
          <w:szCs w:val="24"/>
        </w:rPr>
        <w:t>distanciation physique d’un mètre entre les</w:t>
      </w:r>
      <w:r>
        <w:rPr>
          <w:i/>
          <w:iCs/>
          <w:szCs w:val="24"/>
        </w:rPr>
        <w:t xml:space="preserve"> personnes ;</w:t>
      </w:r>
    </w:p>
    <w:p w:rsidR="00A82086" w:rsidRDefault="007A5C54">
      <w:pPr>
        <w:pStyle w:val="Standarduser"/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i/>
          <w:iCs/>
          <w:szCs w:val="24"/>
        </w:rPr>
      </w:pPr>
      <w:r>
        <w:rPr>
          <w:i/>
          <w:iCs/>
          <w:szCs w:val="24"/>
        </w:rPr>
        <w:t>hygiène des mains (lavage au savon ou par une solution hydro-alcoolique);</w:t>
      </w:r>
    </w:p>
    <w:p w:rsidR="00A82086" w:rsidRDefault="007A5C54">
      <w:pPr>
        <w:pStyle w:val="Standarduser"/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i/>
          <w:iCs/>
          <w:szCs w:val="24"/>
        </w:rPr>
      </w:pPr>
      <w:r>
        <w:rPr>
          <w:i/>
          <w:iCs/>
          <w:szCs w:val="24"/>
        </w:rPr>
        <w:t>En complément, le</w:t>
      </w:r>
      <w:r>
        <w:rPr>
          <w:i/>
          <w:iCs/>
          <w:szCs w:val="24"/>
        </w:rPr>
        <w:t xml:space="preserve"> port d’un masque si la distanciation physique d’un mètre entre deux personnes ne peut être respectée.</w:t>
      </w: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7A5C54">
      <w:pPr>
        <w:pStyle w:val="TableContents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Préciser les mesures d’organisation prévues pour garantir le respect de ce socle de mesures barrières,  :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7A5C54">
      <w:pPr>
        <w:pStyle w:val="TableContents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1) Mesures de prévention et hygiène des main</w:t>
      </w:r>
      <w:r>
        <w:rPr>
          <w:rFonts w:ascii="Times New Roman" w:eastAsia="Times New Roman" w:hAnsi="Times New Roman" w:cs="Times New Roman"/>
          <w:b/>
          <w:bCs/>
        </w:rPr>
        <w:t>s :</w:t>
      </w:r>
    </w:p>
    <w:p w:rsidR="00A82086" w:rsidRDefault="007A5C54">
      <w:pPr>
        <w:pStyle w:val="TableContent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Mesures prises pour inviter les participants potentiels à s’abstenir de participer en cas de symptômes évocateurs du Covid-19 :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7A5C54">
      <w:pPr>
        <w:pStyle w:val="TableContent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Modalités d’information (affichage) et de rappel des règles sanitaires à respecter :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color w:val="000000"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7A5C54">
      <w:pPr>
        <w:pStyle w:val="TableContent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Mise à disposition de points </w:t>
      </w:r>
      <w:r>
        <w:rPr>
          <w:rFonts w:ascii="Times New Roman" w:eastAsia="Times New Roman" w:hAnsi="Times New Roman" w:cs="Times New Roman"/>
          <w:color w:val="000000"/>
        </w:rPr>
        <w:t>d’eau, de savon ou de gel hydro-alcoolique pour l’hygiène des mains, à l’entrée, à la sortie et aux principaux points de passage :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7A5C54">
      <w:pPr>
        <w:pStyle w:val="TableContents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FF"/>
          <w:u w:val="single"/>
        </w:rPr>
        <w:t>2) Distanciation physique :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82086" w:rsidRDefault="007A5C54">
      <w:pPr>
        <w:pStyle w:val="TableContent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décrire la règle retenue pour garantir la distanciation physique et l’espace par personne (qui détermine le nombre de personnes admises à participer à la manifestation) ;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7A5C54">
      <w:pPr>
        <w:pStyle w:val="TableContent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décrire les mesures prises pour assurer le respect de la jauge ainsi définie </w:t>
      </w:r>
      <w:r>
        <w:rPr>
          <w:rFonts w:ascii="Times New Roman" w:eastAsia="Times New Roman" w:hAnsi="Times New Roman" w:cs="Times New Roman"/>
        </w:rPr>
        <w:t>(qui doit être inférieure à 5000 personnes) : décompte des flux entrants et sortants, mise en attente de participants, etc. ;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7A5C54">
      <w:pPr>
        <w:pStyle w:val="TableContent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Cas particulier des lieux avec places assises : la distance minimale d’un</w:t>
      </w:r>
      <w:r>
        <w:rPr>
          <w:rFonts w:ascii="Times New Roman" w:eastAsia="Times New Roman" w:hAnsi="Times New Roman" w:cs="Times New Roman"/>
        </w:rPr>
        <w:t xml:space="preserve"> siège laissé entre les sièges occupés par chaque personne ou groupe de moins de 10 personnes venant ensemble ou ayant réservé ensemble est-elle bien prévue ?</w:t>
      </w:r>
    </w:p>
    <w:p w:rsidR="00A82086" w:rsidRDefault="00A82086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F497D"/>
        </w:rPr>
      </w:pPr>
    </w:p>
    <w:p w:rsidR="00A82086" w:rsidRDefault="00A82086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F497D"/>
        </w:rPr>
      </w:pPr>
    </w:p>
    <w:p w:rsidR="00A82086" w:rsidRDefault="00A82086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F497D"/>
        </w:rPr>
      </w:pPr>
    </w:p>
    <w:p w:rsidR="00A82086" w:rsidRDefault="00A82086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F497D"/>
        </w:rPr>
      </w:pPr>
    </w:p>
    <w:p w:rsidR="00A82086" w:rsidRDefault="007A5C54">
      <w:pPr>
        <w:pStyle w:val="TableContents"/>
        <w:jc w:val="both"/>
        <w:rPr>
          <w:rFonts w:ascii="Times New Roman" w:eastAsia="Times New Roman" w:hAnsi="Times New Roman" w:cs="Times New Roman"/>
          <w:b/>
          <w:bCs/>
          <w:i/>
          <w:iCs/>
          <w:color w:val="6666FF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FF"/>
          <w:u w:val="single"/>
        </w:rPr>
        <w:t>3) Port du masque :</w:t>
      </w:r>
    </w:p>
    <w:p w:rsidR="00A82086" w:rsidRDefault="007A5C54">
      <w:pPr>
        <w:pStyle w:val="TableContents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Rappel : le port du masque sera rendu obligatoire si les règles de dista</w:t>
      </w:r>
      <w:r>
        <w:rPr>
          <w:rFonts w:ascii="Times New Roman" w:eastAsia="Times New Roman" w:hAnsi="Times New Roman" w:cs="Times New Roman"/>
          <w:b/>
          <w:bCs/>
          <w:i/>
          <w:iCs/>
        </w:rPr>
        <w:t>nciation physique ne peuvent être respectées au sein de la manifestation.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7A5C54">
      <w:pPr>
        <w:pStyle w:val="TableContents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Dispositions prises pour faire respecter le port du masque en cas de nécessité :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</w:p>
    <w:p w:rsidR="00A82086" w:rsidRDefault="007A5C54">
      <w:pPr>
        <w:pStyle w:val="TableContents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FF"/>
          <w:u w:val="single"/>
        </w:rPr>
        <w:t>4) Hygiène des lieux </w:t>
      </w:r>
      <w:r>
        <w:rPr>
          <w:rFonts w:ascii="Times New Roman" w:eastAsia="Times New Roman" w:hAnsi="Times New Roman" w:cs="Times New Roman"/>
          <w:b/>
          <w:bCs/>
          <w:i/>
          <w:iCs/>
          <w:color w:val="6666FF"/>
        </w:rPr>
        <w:t>:</w:t>
      </w:r>
    </w:p>
    <w:p w:rsidR="00A82086" w:rsidRDefault="007A5C54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Dispositions prises pour </w:t>
      </w:r>
      <w:r>
        <w:rPr>
          <w:rFonts w:ascii="Times New Roman" w:eastAsia="Times New Roman" w:hAnsi="Times New Roman" w:cs="Times New Roman"/>
          <w:color w:val="000000"/>
        </w:rPr>
        <w:t xml:space="preserve">l’aération, le nettoyage et la désinfection des </w:t>
      </w:r>
      <w:r>
        <w:rPr>
          <w:rFonts w:ascii="Times New Roman" w:eastAsia="Times New Roman" w:hAnsi="Times New Roman" w:cs="Times New Roman"/>
          <w:color w:val="000000"/>
        </w:rPr>
        <w:t>lieux (surfaces et objets touchés, y compris les sanitaires), selon une fréquence proportionnée au risque :</w:t>
      </w:r>
    </w:p>
    <w:p w:rsidR="00A82086" w:rsidRDefault="00A82086">
      <w:pPr>
        <w:pStyle w:val="Standard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A82086">
      <w:pPr>
        <w:pStyle w:val="Standard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A82086">
      <w:pPr>
        <w:pStyle w:val="Standard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A82086">
      <w:pPr>
        <w:pStyle w:val="Standard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A82086">
      <w:pPr>
        <w:pStyle w:val="Standard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7A5C54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Mise à disposition de poubelles à ouverture non manuelle et avec double ensachement, à l’entrée, à la sortie et aux principaux points de </w:t>
      </w:r>
      <w:r>
        <w:rPr>
          <w:rFonts w:ascii="Times New Roman" w:eastAsia="Times New Roman" w:hAnsi="Times New Roman" w:cs="Times New Roman"/>
          <w:color w:val="000000"/>
        </w:rPr>
        <w:t>passage, pour recueillir les déchets susceptibles d’être contaminés (mouchoirs, masques usagés, lingettes désinfectantes, restes alimentaires, etc.), puis élimination des déchets :</w:t>
      </w:r>
    </w:p>
    <w:p w:rsidR="00A82086" w:rsidRDefault="00A82086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A82086" w:rsidRDefault="00A82086">
      <w:pPr>
        <w:pStyle w:val="Standard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A82086">
      <w:pPr>
        <w:pStyle w:val="Standard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82086" w:rsidRDefault="007A5C54">
      <w:pPr>
        <w:pStyle w:val="TableContents"/>
        <w:jc w:val="both"/>
        <w:rPr>
          <w:rFonts w:ascii="Times New Roman" w:eastAsia="Times New Roman" w:hAnsi="Times New Roman" w:cs="Times New Roman"/>
          <w:b/>
          <w:bCs/>
          <w:i/>
          <w:iCs/>
          <w:color w:val="6666FF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FF"/>
          <w:u w:val="single"/>
        </w:rPr>
        <w:t>5) Lieux à risque particulier de propagation du virus (vestiaires, point</w:t>
      </w:r>
      <w:r>
        <w:rPr>
          <w:rFonts w:ascii="Times New Roman" w:eastAsia="Times New Roman" w:hAnsi="Times New Roman" w:cs="Times New Roman"/>
          <w:b/>
          <w:bCs/>
          <w:i/>
          <w:iCs/>
          <w:color w:val="6666FF"/>
          <w:u w:val="single"/>
        </w:rPr>
        <w:t>s de restauration, buvettes, etc.) :</w:t>
      </w:r>
    </w:p>
    <w:p w:rsidR="00A82086" w:rsidRDefault="00A82086">
      <w:pPr>
        <w:pStyle w:val="TableContents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A82086" w:rsidRDefault="007A5C54">
      <w:pPr>
        <w:pStyle w:val="TableContent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décrire les mesures prises pour interdire les espaces permettant des regroupements, ou à défaut mesures prises pour aménager ces espaces afin de garantir les mesures barrières : distanciation physique, régulation des f</w:t>
      </w:r>
      <w:r>
        <w:rPr>
          <w:rFonts w:ascii="Times New Roman" w:eastAsia="Times New Roman" w:hAnsi="Times New Roman" w:cs="Times New Roman"/>
          <w:color w:val="000000"/>
          <w:lang w:eastAsia="fr-FR"/>
        </w:rPr>
        <w:t>lux, règles d’hygiène, etc.</w:t>
      </w: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7A5C54">
      <w:pPr>
        <w:pStyle w:val="Standarduser"/>
        <w:jc w:val="both"/>
        <w:rPr>
          <w:b/>
          <w:bCs/>
          <w:i/>
          <w:iCs/>
          <w:color w:val="6666FF"/>
          <w:szCs w:val="24"/>
        </w:rPr>
      </w:pPr>
      <w:r>
        <w:rPr>
          <w:b/>
          <w:bCs/>
          <w:i/>
          <w:iCs/>
          <w:color w:val="6666FF"/>
          <w:szCs w:val="24"/>
          <w:u w:val="single"/>
        </w:rPr>
        <w:t>6) Avis du maire de la commune sur laquelle est projeté le rassemblement </w:t>
      </w:r>
      <w:r>
        <w:rPr>
          <w:b/>
          <w:bCs/>
          <w:i/>
          <w:iCs/>
          <w:color w:val="6666FF"/>
          <w:szCs w:val="24"/>
        </w:rPr>
        <w:t>:</w:t>
      </w:r>
    </w:p>
    <w:p w:rsidR="00A82086" w:rsidRDefault="00A82086">
      <w:pPr>
        <w:pStyle w:val="Standarduser"/>
        <w:jc w:val="both"/>
        <w:rPr>
          <w:b/>
          <w:bCs/>
          <w:szCs w:val="24"/>
        </w:rPr>
      </w:pPr>
    </w:p>
    <w:p w:rsidR="00A82086" w:rsidRDefault="00A82086">
      <w:pPr>
        <w:pStyle w:val="Standard"/>
        <w:jc w:val="both"/>
        <w:rPr>
          <w:rFonts w:ascii="Times New Roman" w:hAnsi="Times New Roman"/>
          <w:u w:val="single"/>
        </w:rPr>
      </w:pPr>
    </w:p>
    <w:p w:rsidR="00A82086" w:rsidRDefault="007A5C54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2086" w:rsidRDefault="00A82086">
      <w:pPr>
        <w:pStyle w:val="Heading"/>
        <w:jc w:val="both"/>
        <w:rPr>
          <w:rFonts w:ascii="Times New Roman" w:hAnsi="Times New Roman"/>
          <w:sz w:val="24"/>
          <w:szCs w:val="24"/>
        </w:rPr>
      </w:pPr>
    </w:p>
    <w:p w:rsidR="00A82086" w:rsidRDefault="007A5C54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Date, nom et et signature de l'organisateur</w:t>
      </w:r>
    </w:p>
    <w:p w:rsidR="00A82086" w:rsidRDefault="00A82086">
      <w:pPr>
        <w:pStyle w:val="Textbody"/>
        <w:jc w:val="both"/>
        <w:rPr>
          <w:rFonts w:ascii="Times New Roman" w:hAnsi="Times New Roman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</w:rPr>
      </w:pPr>
    </w:p>
    <w:p w:rsidR="00A82086" w:rsidRDefault="00A82086">
      <w:pPr>
        <w:pStyle w:val="Textbody"/>
        <w:jc w:val="both"/>
        <w:rPr>
          <w:rFonts w:ascii="Times New Roman" w:hAnsi="Times New Roman"/>
        </w:rPr>
      </w:pPr>
    </w:p>
    <w:p w:rsidR="00A82086" w:rsidRDefault="007A5C54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Cachet de la préfecture/sous-préfecture et observations éventuelles :</w:t>
      </w:r>
    </w:p>
    <w:sectPr w:rsidR="00A820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54" w:rsidRDefault="007A5C54">
      <w:pPr>
        <w:rPr>
          <w:rFonts w:hint="eastAsia"/>
        </w:rPr>
      </w:pPr>
      <w:r>
        <w:separator/>
      </w:r>
    </w:p>
  </w:endnote>
  <w:endnote w:type="continuationSeparator" w:id="0">
    <w:p w:rsidR="007A5C54" w:rsidRDefault="007A5C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panose1 w:val="05010000000000000000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54" w:rsidRDefault="007A5C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5C54" w:rsidRDefault="007A5C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736"/>
    <w:multiLevelType w:val="multilevel"/>
    <w:tmpl w:val="DBFE56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95A4BF9"/>
    <w:multiLevelType w:val="multilevel"/>
    <w:tmpl w:val="C32CE0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4329EF"/>
    <w:multiLevelType w:val="multilevel"/>
    <w:tmpl w:val="EE3E83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1E57E8E"/>
    <w:multiLevelType w:val="multilevel"/>
    <w:tmpl w:val="CC2C62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64C6372"/>
    <w:multiLevelType w:val="multilevel"/>
    <w:tmpl w:val="9BACC1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2827B93"/>
    <w:multiLevelType w:val="multilevel"/>
    <w:tmpl w:val="26C234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2086"/>
    <w:rsid w:val="007A5C54"/>
    <w:rsid w:val="009F26D8"/>
    <w:rsid w:val="00A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B22AA-28B8-4328-98D5-B1055999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Standard"/>
    <w:pPr>
      <w:spacing w:after="160"/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4474</Characters>
  <Application>Microsoft Office Word</Application>
  <DocSecurity>0</DocSecurity>
  <Lines>84</Lines>
  <Paragraphs>61</Paragraphs>
  <ScaleCrop>false</ScaleCrop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Communication2</dc:creator>
  <cp:lastModifiedBy>Communication2</cp:lastModifiedBy>
  <cp:revision>2</cp:revision>
  <dcterms:created xsi:type="dcterms:W3CDTF">2020-07-28T11:58:00Z</dcterms:created>
  <dcterms:modified xsi:type="dcterms:W3CDTF">2020-07-28T11:58:00Z</dcterms:modified>
</cp:coreProperties>
</file>